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BEEC" w14:textId="77777777" w:rsidR="0019049C" w:rsidRPr="008D3B4C" w:rsidRDefault="0019049C" w:rsidP="001D3DBD">
      <w:pPr>
        <w:rPr>
          <w:rFonts w:ascii="Calibri" w:hAnsi="Calibri" w:cs="Calibri"/>
          <w:b/>
          <w:bCs/>
          <w:sz w:val="24"/>
          <w:szCs w:val="24"/>
        </w:rPr>
      </w:pPr>
      <w:r w:rsidRPr="008D3B4C">
        <w:rPr>
          <w:rFonts w:ascii="Calibri" w:hAnsi="Calibri" w:cs="Calibri"/>
          <w:b/>
          <w:bCs/>
          <w:sz w:val="24"/>
          <w:szCs w:val="24"/>
        </w:rPr>
        <w:t>Bonfire Practices at the Allotments</w:t>
      </w:r>
    </w:p>
    <w:p w14:paraId="10763992" w14:textId="56E32FAF" w:rsidR="0019049C" w:rsidRPr="008D3B4C" w:rsidRDefault="0019049C" w:rsidP="0019049C">
      <w:pPr>
        <w:rPr>
          <w:rFonts w:ascii="Calibri" w:hAnsi="Calibri" w:cs="Calibri"/>
          <w:sz w:val="24"/>
          <w:szCs w:val="24"/>
        </w:rPr>
      </w:pPr>
      <w:r w:rsidRPr="008D3B4C">
        <w:rPr>
          <w:rFonts w:ascii="Calibri" w:hAnsi="Calibri" w:cs="Calibri"/>
          <w:sz w:val="24"/>
          <w:szCs w:val="24"/>
        </w:rPr>
        <w:t xml:space="preserve">Bonfires are a real danger in many ways, especially in dry, hot weather with the risk of sparks setting fire to neighbouring plots or sheds, and they can be a </w:t>
      </w:r>
      <w:r w:rsidRPr="0019049C">
        <w:rPr>
          <w:rFonts w:ascii="Calibri" w:hAnsi="Calibri" w:cs="Calibri"/>
          <w:sz w:val="24"/>
          <w:szCs w:val="24"/>
        </w:rPr>
        <w:t xml:space="preserve">real nuisance </w:t>
      </w:r>
      <w:r w:rsidRPr="008D3B4C">
        <w:rPr>
          <w:rFonts w:ascii="Calibri" w:hAnsi="Calibri" w:cs="Calibri"/>
          <w:sz w:val="24"/>
          <w:szCs w:val="24"/>
        </w:rPr>
        <w:t xml:space="preserve">to neighbourhoods next door, </w:t>
      </w:r>
      <w:r w:rsidRPr="0019049C">
        <w:rPr>
          <w:rFonts w:ascii="Calibri" w:hAnsi="Calibri" w:cs="Calibri"/>
          <w:sz w:val="24"/>
          <w:szCs w:val="24"/>
        </w:rPr>
        <w:t xml:space="preserve">so many landlords are now banning them from allotment sites. </w:t>
      </w:r>
      <w:r w:rsidRPr="008D3B4C">
        <w:rPr>
          <w:rFonts w:ascii="Calibri" w:hAnsi="Calibri" w:cs="Calibri"/>
          <w:sz w:val="24"/>
          <w:szCs w:val="24"/>
        </w:rPr>
        <w:t xml:space="preserve"> RAHA does not ban bonfires, and we do not want to have to, so please read the following guidelines and follow them.  </w:t>
      </w:r>
    </w:p>
    <w:p w14:paraId="50A46F67" w14:textId="0FB036B7" w:rsidR="0019049C" w:rsidRPr="0019049C" w:rsidRDefault="0019049C" w:rsidP="0019049C">
      <w:pPr>
        <w:rPr>
          <w:rFonts w:ascii="Calibri" w:hAnsi="Calibri" w:cs="Calibri"/>
          <w:sz w:val="24"/>
          <w:szCs w:val="24"/>
        </w:rPr>
      </w:pPr>
      <w:r w:rsidRPr="008D3B4C">
        <w:rPr>
          <w:rFonts w:ascii="Calibri" w:hAnsi="Calibri" w:cs="Calibri"/>
          <w:sz w:val="24"/>
          <w:szCs w:val="24"/>
        </w:rPr>
        <w:t xml:space="preserve">There are no laws in the U.K. concerning bonfires </w:t>
      </w:r>
      <w:r w:rsidRPr="008D3B4C">
        <w:rPr>
          <w:rFonts w:ascii="Calibri" w:hAnsi="Calibri" w:cs="Calibri"/>
          <w:i/>
          <w:iCs/>
          <w:sz w:val="24"/>
          <w:szCs w:val="24"/>
        </w:rPr>
        <w:t>per se</w:t>
      </w:r>
      <w:r w:rsidRPr="008D3B4C">
        <w:rPr>
          <w:rFonts w:ascii="Calibri" w:hAnsi="Calibri" w:cs="Calibri"/>
          <w:sz w:val="24"/>
          <w:szCs w:val="24"/>
        </w:rPr>
        <w:t>, but the following statues apply:</w:t>
      </w:r>
      <w:r w:rsidRPr="0019049C">
        <w:rPr>
          <w:rFonts w:ascii="Calibri" w:hAnsi="Calibri" w:cs="Calibri"/>
          <w:sz w:val="24"/>
          <w:szCs w:val="24"/>
        </w:rPr>
        <w:t xml:space="preserve"> </w:t>
      </w:r>
    </w:p>
    <w:p w14:paraId="5F11D146" w14:textId="1E9DAAF0" w:rsidR="001D3DBD" w:rsidRPr="008D3B4C" w:rsidRDefault="001D3DBD" w:rsidP="001D3DBD">
      <w:pPr>
        <w:rPr>
          <w:rFonts w:ascii="Calibri" w:hAnsi="Calibri" w:cs="Calibri"/>
          <w:sz w:val="24"/>
          <w:szCs w:val="24"/>
        </w:rPr>
      </w:pPr>
      <w:r w:rsidRPr="008D3B4C">
        <w:rPr>
          <w:rFonts w:ascii="Calibri" w:hAnsi="Calibri" w:cs="Calibri"/>
          <w:b/>
          <w:bCs/>
          <w:sz w:val="24"/>
          <w:szCs w:val="24"/>
        </w:rPr>
        <w:t>The Environmental Protection Act 1990</w:t>
      </w:r>
      <w:r w:rsidRPr="008D3B4C">
        <w:rPr>
          <w:rFonts w:ascii="Calibri" w:hAnsi="Calibri" w:cs="Calibri"/>
          <w:sz w:val="24"/>
          <w:szCs w:val="24"/>
        </w:rPr>
        <w:t xml:space="preserve"> states that a statutory nuisance includes 'smoke, fumes or gasses emitted from premises so as to be prejudicial to health or a nuisance'.  To be a nuisance smoke must be substantially interfering with a person’s enjoyment of their property. Where smoke is drifting across or into someone’s property, if they can’t open windows or hang their washing out for example, then it can easily be judged to be causing a nuisance. If necessary, a notice can be served requiring that the smoke nuisance is abated. Failure to comply with such a notice can result in prosecution and a fine on conviction of up to £5</w:t>
      </w:r>
      <w:r w:rsidR="0019049C" w:rsidRPr="008D3B4C">
        <w:rPr>
          <w:rFonts w:ascii="Calibri" w:hAnsi="Calibri" w:cs="Calibri"/>
          <w:sz w:val="24"/>
          <w:szCs w:val="24"/>
        </w:rPr>
        <w:t>,</w:t>
      </w:r>
      <w:r w:rsidRPr="008D3B4C">
        <w:rPr>
          <w:rFonts w:ascii="Calibri" w:hAnsi="Calibri" w:cs="Calibri"/>
          <w:sz w:val="24"/>
          <w:szCs w:val="24"/>
        </w:rPr>
        <w:t>000.</w:t>
      </w:r>
    </w:p>
    <w:p w14:paraId="70D47FC4" w14:textId="6B8AE778" w:rsidR="001338B5" w:rsidRPr="008D3B4C" w:rsidRDefault="001338B5" w:rsidP="001338B5">
      <w:pPr>
        <w:rPr>
          <w:rFonts w:ascii="Calibri" w:hAnsi="Calibri" w:cs="Calibri"/>
          <w:sz w:val="24"/>
          <w:szCs w:val="24"/>
        </w:rPr>
      </w:pPr>
      <w:r w:rsidRPr="008D3B4C">
        <w:rPr>
          <w:rFonts w:ascii="Calibri" w:hAnsi="Calibri" w:cs="Calibri"/>
          <w:sz w:val="24"/>
          <w:szCs w:val="24"/>
        </w:rPr>
        <w:t xml:space="preserve">Under </w:t>
      </w:r>
      <w:r w:rsidRPr="008D3B4C">
        <w:rPr>
          <w:rFonts w:ascii="Calibri" w:hAnsi="Calibri" w:cs="Calibri"/>
          <w:b/>
          <w:bCs/>
          <w:sz w:val="24"/>
          <w:szCs w:val="24"/>
        </w:rPr>
        <w:t>the Highways Act 1980</w:t>
      </w:r>
      <w:r w:rsidRPr="008D3B4C">
        <w:rPr>
          <w:rFonts w:ascii="Calibri" w:hAnsi="Calibri" w:cs="Calibri"/>
          <w:sz w:val="24"/>
          <w:szCs w:val="24"/>
        </w:rPr>
        <w:t xml:space="preserve"> anyone lighting a fire and allowing smoke to drift across a road faces a fine if it endangers traffic. If this is the case </w:t>
      </w:r>
      <w:r w:rsidR="0019049C" w:rsidRPr="008D3B4C">
        <w:rPr>
          <w:rFonts w:ascii="Calibri" w:hAnsi="Calibri" w:cs="Calibri"/>
          <w:sz w:val="24"/>
          <w:szCs w:val="24"/>
        </w:rPr>
        <w:t xml:space="preserve">the </w:t>
      </w:r>
      <w:r w:rsidRPr="008D3B4C">
        <w:rPr>
          <w:rFonts w:ascii="Calibri" w:hAnsi="Calibri" w:cs="Calibri"/>
          <w:sz w:val="24"/>
          <w:szCs w:val="24"/>
        </w:rPr>
        <w:t>police</w:t>
      </w:r>
      <w:r w:rsidR="0019049C" w:rsidRPr="008D3B4C">
        <w:rPr>
          <w:rFonts w:ascii="Calibri" w:hAnsi="Calibri" w:cs="Calibri"/>
          <w:sz w:val="24"/>
          <w:szCs w:val="24"/>
        </w:rPr>
        <w:t xml:space="preserve"> may be contacted</w:t>
      </w:r>
      <w:r w:rsidRPr="008D3B4C">
        <w:rPr>
          <w:rFonts w:ascii="Calibri" w:hAnsi="Calibri" w:cs="Calibri"/>
          <w:sz w:val="24"/>
          <w:szCs w:val="24"/>
        </w:rPr>
        <w:t>.</w:t>
      </w:r>
    </w:p>
    <w:p w14:paraId="69291915" w14:textId="61656291" w:rsidR="001D3DBD" w:rsidRPr="008D3B4C" w:rsidRDefault="001D3DBD" w:rsidP="001D3DBD">
      <w:pPr>
        <w:rPr>
          <w:rFonts w:ascii="Calibri" w:hAnsi="Calibri" w:cs="Calibri"/>
          <w:b/>
          <w:bCs/>
          <w:sz w:val="24"/>
          <w:szCs w:val="24"/>
        </w:rPr>
      </w:pPr>
      <w:r w:rsidRPr="008D3B4C">
        <w:rPr>
          <w:rFonts w:ascii="Calibri" w:hAnsi="Calibri" w:cs="Calibri"/>
          <w:b/>
          <w:bCs/>
          <w:sz w:val="24"/>
          <w:szCs w:val="24"/>
        </w:rPr>
        <w:t>Bonfire guidelines</w:t>
      </w:r>
    </w:p>
    <w:p w14:paraId="68B4367C" w14:textId="6929FA31" w:rsidR="001D3DBD" w:rsidRPr="008D3B4C" w:rsidRDefault="001D3DBD" w:rsidP="001D3DBD">
      <w:pPr>
        <w:rPr>
          <w:rFonts w:ascii="Calibri" w:hAnsi="Calibri" w:cs="Calibri"/>
          <w:sz w:val="24"/>
          <w:szCs w:val="24"/>
        </w:rPr>
      </w:pPr>
      <w:r w:rsidRPr="008D3B4C">
        <w:rPr>
          <w:rFonts w:ascii="Calibri" w:hAnsi="Calibri" w:cs="Calibri"/>
          <w:sz w:val="24"/>
          <w:szCs w:val="24"/>
        </w:rPr>
        <w:t xml:space="preserve">If you follow these guidelines </w:t>
      </w:r>
      <w:r w:rsidR="0019049C" w:rsidRPr="008D3B4C">
        <w:rPr>
          <w:rFonts w:ascii="Calibri" w:hAnsi="Calibri" w:cs="Calibri"/>
          <w:sz w:val="24"/>
          <w:szCs w:val="24"/>
        </w:rPr>
        <w:t xml:space="preserve">for both bonfires on the ground and in incinerator bins, </w:t>
      </w:r>
      <w:r w:rsidRPr="008D3B4C">
        <w:rPr>
          <w:rFonts w:ascii="Calibri" w:hAnsi="Calibri" w:cs="Calibri"/>
          <w:sz w:val="24"/>
          <w:szCs w:val="24"/>
        </w:rPr>
        <w:t>the chances are you won't cause a serious nuisance.</w:t>
      </w:r>
    </w:p>
    <w:p w14:paraId="69ED9DFF" w14:textId="21FA0C05" w:rsidR="001D3DBD" w:rsidRPr="008D3B4C" w:rsidRDefault="001D3DBD" w:rsidP="008D3B4C">
      <w:pPr>
        <w:pStyle w:val="ListParagraph"/>
        <w:numPr>
          <w:ilvl w:val="0"/>
          <w:numId w:val="1"/>
        </w:numPr>
        <w:ind w:left="714" w:hanging="357"/>
        <w:rPr>
          <w:rFonts w:ascii="Calibri" w:hAnsi="Calibri" w:cs="Calibri"/>
          <w:sz w:val="24"/>
          <w:szCs w:val="24"/>
        </w:rPr>
      </w:pPr>
      <w:r w:rsidRPr="008D3B4C">
        <w:rPr>
          <w:rFonts w:ascii="Calibri" w:hAnsi="Calibri" w:cs="Calibri"/>
          <w:sz w:val="24"/>
          <w:szCs w:val="24"/>
        </w:rPr>
        <w:t xml:space="preserve">Burn dry material </w:t>
      </w:r>
      <w:r w:rsidR="0019049C" w:rsidRPr="008D3B4C">
        <w:rPr>
          <w:rFonts w:ascii="Calibri" w:hAnsi="Calibri" w:cs="Calibri"/>
          <w:sz w:val="24"/>
          <w:szCs w:val="24"/>
        </w:rPr>
        <w:t xml:space="preserve">from your plot </w:t>
      </w:r>
      <w:r w:rsidRPr="008D3B4C">
        <w:rPr>
          <w:rFonts w:ascii="Calibri" w:hAnsi="Calibri" w:cs="Calibri"/>
          <w:b/>
          <w:bCs/>
          <w:sz w:val="24"/>
          <w:szCs w:val="24"/>
        </w:rPr>
        <w:t>only</w:t>
      </w:r>
    </w:p>
    <w:p w14:paraId="5BD33E30" w14:textId="6E48171F" w:rsidR="001D3DBD" w:rsidRPr="008D3B4C" w:rsidRDefault="001D3DBD" w:rsidP="008D3B4C">
      <w:pPr>
        <w:pStyle w:val="ListParagraph"/>
        <w:numPr>
          <w:ilvl w:val="0"/>
          <w:numId w:val="1"/>
        </w:numPr>
        <w:ind w:left="714" w:hanging="357"/>
        <w:rPr>
          <w:rFonts w:ascii="Calibri" w:hAnsi="Calibri" w:cs="Calibri"/>
          <w:sz w:val="24"/>
          <w:szCs w:val="24"/>
        </w:rPr>
      </w:pPr>
      <w:r w:rsidRPr="008D3B4C">
        <w:rPr>
          <w:rFonts w:ascii="Calibri" w:hAnsi="Calibri" w:cs="Calibri"/>
          <w:b/>
          <w:bCs/>
          <w:sz w:val="24"/>
          <w:szCs w:val="24"/>
        </w:rPr>
        <w:t>Never</w:t>
      </w:r>
      <w:r w:rsidRPr="008D3B4C">
        <w:rPr>
          <w:rFonts w:ascii="Calibri" w:hAnsi="Calibri" w:cs="Calibri"/>
          <w:sz w:val="24"/>
          <w:szCs w:val="24"/>
        </w:rPr>
        <w:t xml:space="preserve"> burn </w:t>
      </w:r>
      <w:r w:rsidR="00681E42">
        <w:rPr>
          <w:rFonts w:ascii="Calibri" w:hAnsi="Calibri" w:cs="Calibri"/>
          <w:sz w:val="24"/>
          <w:szCs w:val="24"/>
        </w:rPr>
        <w:t xml:space="preserve">any </w:t>
      </w:r>
      <w:r w:rsidRPr="008D3B4C">
        <w:rPr>
          <w:rFonts w:ascii="Calibri" w:hAnsi="Calibri" w:cs="Calibri"/>
          <w:sz w:val="24"/>
          <w:szCs w:val="24"/>
        </w:rPr>
        <w:t xml:space="preserve">household </w:t>
      </w:r>
      <w:r w:rsidR="00681E42">
        <w:rPr>
          <w:rFonts w:ascii="Calibri" w:hAnsi="Calibri" w:cs="Calibri"/>
          <w:sz w:val="24"/>
          <w:szCs w:val="24"/>
        </w:rPr>
        <w:t xml:space="preserve">or man-made </w:t>
      </w:r>
      <w:r w:rsidRPr="008D3B4C">
        <w:rPr>
          <w:rFonts w:ascii="Calibri" w:hAnsi="Calibri" w:cs="Calibri"/>
          <w:sz w:val="24"/>
          <w:szCs w:val="24"/>
        </w:rPr>
        <w:t>rubbish</w:t>
      </w:r>
      <w:r w:rsidR="0019049C" w:rsidRPr="008D3B4C">
        <w:rPr>
          <w:rFonts w:ascii="Calibri" w:hAnsi="Calibri" w:cs="Calibri"/>
          <w:sz w:val="24"/>
          <w:szCs w:val="24"/>
        </w:rPr>
        <w:t xml:space="preserve"> as these produce toxic fumes.</w:t>
      </w:r>
    </w:p>
    <w:p w14:paraId="450375C9" w14:textId="77777777" w:rsidR="0019049C" w:rsidRPr="008D3B4C" w:rsidRDefault="0019049C" w:rsidP="008D3B4C">
      <w:pPr>
        <w:pStyle w:val="ListParagraph"/>
        <w:numPr>
          <w:ilvl w:val="0"/>
          <w:numId w:val="4"/>
        </w:numPr>
        <w:ind w:left="714" w:hanging="357"/>
        <w:rPr>
          <w:rFonts w:ascii="Calibri" w:hAnsi="Calibri" w:cs="Calibri"/>
          <w:sz w:val="24"/>
          <w:szCs w:val="24"/>
        </w:rPr>
      </w:pPr>
      <w:r w:rsidRPr="008D3B4C">
        <w:rPr>
          <w:rFonts w:ascii="Calibri" w:hAnsi="Calibri" w:cs="Calibri"/>
          <w:b/>
          <w:bCs/>
          <w:sz w:val="24"/>
          <w:szCs w:val="24"/>
        </w:rPr>
        <w:t>Never</w:t>
      </w:r>
      <w:r w:rsidRPr="008D3B4C">
        <w:rPr>
          <w:rFonts w:ascii="Calibri" w:hAnsi="Calibri" w:cs="Calibri"/>
          <w:sz w:val="24"/>
          <w:szCs w:val="24"/>
        </w:rPr>
        <w:t xml:space="preserve"> under any circumstances use an accelerator (e.g. petrol) to get the bonfire started. </w:t>
      </w:r>
    </w:p>
    <w:p w14:paraId="35F567EA" w14:textId="05E6BE95" w:rsidR="008D3B4C" w:rsidRPr="008D3B4C" w:rsidRDefault="0019049C" w:rsidP="008D3B4C">
      <w:pPr>
        <w:pStyle w:val="ListParagraph"/>
        <w:numPr>
          <w:ilvl w:val="0"/>
          <w:numId w:val="4"/>
        </w:numPr>
        <w:ind w:left="714" w:hanging="357"/>
        <w:rPr>
          <w:rFonts w:ascii="Calibri" w:hAnsi="Calibri" w:cs="Calibri"/>
          <w:sz w:val="24"/>
          <w:szCs w:val="24"/>
        </w:rPr>
      </w:pPr>
      <w:r w:rsidRPr="008D3B4C">
        <w:rPr>
          <w:rFonts w:ascii="Calibri" w:hAnsi="Calibri" w:cs="Calibri"/>
          <w:b/>
          <w:bCs/>
          <w:sz w:val="24"/>
          <w:szCs w:val="24"/>
        </w:rPr>
        <w:t>Never</w:t>
      </w:r>
      <w:r w:rsidRPr="008D3B4C">
        <w:rPr>
          <w:rFonts w:ascii="Calibri" w:hAnsi="Calibri" w:cs="Calibri"/>
          <w:sz w:val="24"/>
          <w:szCs w:val="24"/>
        </w:rPr>
        <w:t xml:space="preserve"> </w:t>
      </w:r>
      <w:r w:rsidR="00681E42">
        <w:rPr>
          <w:rFonts w:ascii="Calibri" w:hAnsi="Calibri" w:cs="Calibri"/>
          <w:sz w:val="24"/>
          <w:szCs w:val="24"/>
        </w:rPr>
        <w:t xml:space="preserve">under any circumstances </w:t>
      </w:r>
      <w:r w:rsidRPr="008D3B4C">
        <w:rPr>
          <w:rFonts w:ascii="Calibri" w:hAnsi="Calibri" w:cs="Calibri"/>
          <w:sz w:val="24"/>
          <w:szCs w:val="24"/>
        </w:rPr>
        <w:t>leave the bonfire unattended</w:t>
      </w:r>
      <w:r w:rsidRPr="008D3B4C">
        <w:rPr>
          <w:rFonts w:ascii="Calibri" w:hAnsi="Calibri" w:cs="Calibri"/>
          <w:sz w:val="24"/>
          <w:szCs w:val="24"/>
        </w:rPr>
        <w:t>.</w:t>
      </w:r>
      <w:r w:rsidRPr="008D3B4C">
        <w:rPr>
          <w:rFonts w:ascii="Calibri" w:hAnsi="Calibri" w:cs="Calibri"/>
          <w:sz w:val="24"/>
          <w:szCs w:val="24"/>
        </w:rPr>
        <w:t xml:space="preserve"> </w:t>
      </w:r>
      <w:r w:rsidRPr="008D3B4C">
        <w:rPr>
          <w:rFonts w:ascii="Calibri" w:hAnsi="Calibri" w:cs="Calibri"/>
          <w:sz w:val="24"/>
          <w:szCs w:val="24"/>
        </w:rPr>
        <w:t xml:space="preserve"> A</w:t>
      </w:r>
      <w:r w:rsidRPr="008D3B4C">
        <w:rPr>
          <w:rFonts w:ascii="Calibri" w:hAnsi="Calibri" w:cs="Calibri"/>
          <w:sz w:val="24"/>
          <w:szCs w:val="24"/>
        </w:rPr>
        <w:t>lways wait until everything has burned down before leaving the sit</w:t>
      </w:r>
      <w:r w:rsidR="00681E42">
        <w:rPr>
          <w:rFonts w:ascii="Calibri" w:hAnsi="Calibri" w:cs="Calibri"/>
          <w:sz w:val="24"/>
          <w:szCs w:val="24"/>
        </w:rPr>
        <w:t>e.  It is best not to</w:t>
      </w:r>
      <w:r w:rsidRPr="008D3B4C">
        <w:rPr>
          <w:rFonts w:ascii="Calibri" w:hAnsi="Calibri" w:cs="Calibri"/>
          <w:sz w:val="24"/>
          <w:szCs w:val="24"/>
        </w:rPr>
        <w:t xml:space="preserve"> use water to douse a bonfire; it may appear as if the fire has been safely put out but the water only serves to superheat the ashes and they could re-ignite some hours later</w:t>
      </w:r>
      <w:r w:rsidR="00681E42">
        <w:rPr>
          <w:rFonts w:ascii="Calibri" w:hAnsi="Calibri" w:cs="Calibri"/>
          <w:sz w:val="24"/>
          <w:szCs w:val="24"/>
        </w:rPr>
        <w:t xml:space="preserve"> – best to use </w:t>
      </w:r>
      <w:r w:rsidRPr="008D3B4C">
        <w:rPr>
          <w:rFonts w:ascii="Calibri" w:hAnsi="Calibri" w:cs="Calibri"/>
          <w:sz w:val="24"/>
          <w:szCs w:val="24"/>
        </w:rPr>
        <w:t>soil or sand to smother the heat.</w:t>
      </w:r>
      <w:r w:rsidR="008D3B4C" w:rsidRPr="008D3B4C">
        <w:rPr>
          <w:rFonts w:ascii="Calibri" w:hAnsi="Calibri" w:cs="Calibri"/>
          <w:sz w:val="24"/>
          <w:szCs w:val="24"/>
        </w:rPr>
        <w:t xml:space="preserve"> </w:t>
      </w:r>
    </w:p>
    <w:p w14:paraId="5BE77247" w14:textId="21645C5A" w:rsidR="008D3B4C" w:rsidRPr="008D3B4C" w:rsidRDefault="008D3B4C" w:rsidP="008D3B4C">
      <w:pPr>
        <w:pStyle w:val="ListParagraph"/>
        <w:numPr>
          <w:ilvl w:val="0"/>
          <w:numId w:val="4"/>
        </w:numPr>
        <w:ind w:left="714" w:hanging="357"/>
        <w:rPr>
          <w:rFonts w:ascii="Calibri" w:hAnsi="Calibri" w:cs="Calibri"/>
          <w:sz w:val="24"/>
          <w:szCs w:val="24"/>
        </w:rPr>
      </w:pPr>
      <w:r w:rsidRPr="008D3B4C">
        <w:rPr>
          <w:rFonts w:ascii="Calibri" w:hAnsi="Calibri" w:cs="Calibri"/>
          <w:sz w:val="24"/>
          <w:szCs w:val="24"/>
        </w:rPr>
        <w:t>Do not have a fire if the wind is variable or if it is blowing directly towards neighbouring</w:t>
      </w:r>
      <w:r w:rsidRPr="008D3B4C">
        <w:rPr>
          <w:rFonts w:ascii="Calibri" w:hAnsi="Calibri" w:cs="Calibri"/>
          <w:sz w:val="24"/>
          <w:szCs w:val="24"/>
        </w:rPr>
        <w:t xml:space="preserve"> </w:t>
      </w:r>
      <w:r w:rsidRPr="008D3B4C">
        <w:rPr>
          <w:rFonts w:ascii="Calibri" w:hAnsi="Calibri" w:cs="Calibri"/>
          <w:sz w:val="24"/>
          <w:szCs w:val="24"/>
        </w:rPr>
        <w:t>properties</w:t>
      </w:r>
      <w:r w:rsidRPr="008D3B4C">
        <w:rPr>
          <w:rFonts w:ascii="Calibri" w:hAnsi="Calibri" w:cs="Calibri"/>
          <w:sz w:val="24"/>
          <w:szCs w:val="24"/>
        </w:rPr>
        <w:t xml:space="preserve"> or a road.</w:t>
      </w:r>
    </w:p>
    <w:p w14:paraId="2FEEC13A" w14:textId="77777777" w:rsidR="008D3B4C" w:rsidRPr="008D3B4C" w:rsidRDefault="001D3DBD" w:rsidP="008D3B4C">
      <w:pPr>
        <w:pStyle w:val="ListParagraph"/>
        <w:numPr>
          <w:ilvl w:val="0"/>
          <w:numId w:val="4"/>
        </w:numPr>
        <w:rPr>
          <w:rFonts w:ascii="Calibri" w:hAnsi="Calibri" w:cs="Calibri"/>
          <w:sz w:val="24"/>
          <w:szCs w:val="24"/>
        </w:rPr>
      </w:pPr>
      <w:r w:rsidRPr="008D3B4C">
        <w:rPr>
          <w:rFonts w:ascii="Calibri" w:hAnsi="Calibri" w:cs="Calibri"/>
          <w:sz w:val="24"/>
          <w:szCs w:val="24"/>
        </w:rPr>
        <w:t>Avoid burning at weekends and on bank holidays when people want to enjoy their</w:t>
      </w:r>
      <w:r w:rsidR="0019049C" w:rsidRPr="008D3B4C">
        <w:rPr>
          <w:rFonts w:ascii="Calibri" w:hAnsi="Calibri" w:cs="Calibri"/>
          <w:sz w:val="24"/>
          <w:szCs w:val="24"/>
        </w:rPr>
        <w:t xml:space="preserve"> </w:t>
      </w:r>
      <w:r w:rsidRPr="008D3B4C">
        <w:rPr>
          <w:rFonts w:ascii="Calibri" w:hAnsi="Calibri" w:cs="Calibri"/>
          <w:sz w:val="24"/>
          <w:szCs w:val="24"/>
        </w:rPr>
        <w:t>homes and gardens</w:t>
      </w:r>
    </w:p>
    <w:p w14:paraId="3AC5B58C" w14:textId="08022253" w:rsidR="008D3B4C" w:rsidRPr="008D3B4C" w:rsidRDefault="008D3B4C" w:rsidP="008D3B4C">
      <w:pPr>
        <w:pStyle w:val="ListParagraph"/>
        <w:numPr>
          <w:ilvl w:val="0"/>
          <w:numId w:val="4"/>
        </w:numPr>
        <w:rPr>
          <w:rFonts w:ascii="Calibri" w:hAnsi="Calibri" w:cs="Calibri"/>
          <w:sz w:val="24"/>
          <w:szCs w:val="24"/>
        </w:rPr>
      </w:pPr>
      <w:r w:rsidRPr="008D3B4C">
        <w:rPr>
          <w:rFonts w:ascii="Calibri" w:hAnsi="Calibri" w:cs="Calibri"/>
          <w:sz w:val="24"/>
          <w:szCs w:val="24"/>
        </w:rPr>
        <w:t>Avoid burning when the air quality is ‘poo</w:t>
      </w:r>
      <w:r w:rsidR="00681E42">
        <w:rPr>
          <w:rFonts w:ascii="Calibri" w:hAnsi="Calibri" w:cs="Calibri"/>
          <w:sz w:val="24"/>
          <w:szCs w:val="24"/>
        </w:rPr>
        <w:t>r</w:t>
      </w:r>
      <w:r w:rsidRPr="008D3B4C">
        <w:rPr>
          <w:rFonts w:ascii="Calibri" w:hAnsi="Calibri" w:cs="Calibri"/>
          <w:sz w:val="24"/>
          <w:szCs w:val="24"/>
        </w:rPr>
        <w:t>’ or ‘very poor’.  (You can check this by ‘phoning 0800556677, on the Red Button of your digital television or by checking at www.defra.gov.uk.)</w:t>
      </w:r>
    </w:p>
    <w:p w14:paraId="086FFA83" w14:textId="15F6DE95" w:rsidR="00B505B1" w:rsidRPr="008D3B4C" w:rsidRDefault="00B505B1" w:rsidP="008D3B4C">
      <w:pPr>
        <w:pStyle w:val="ListParagraph"/>
        <w:numPr>
          <w:ilvl w:val="0"/>
          <w:numId w:val="4"/>
        </w:numPr>
        <w:rPr>
          <w:rFonts w:ascii="Calibri" w:hAnsi="Calibri" w:cs="Calibri"/>
          <w:sz w:val="24"/>
          <w:szCs w:val="24"/>
        </w:rPr>
      </w:pPr>
      <w:r w:rsidRPr="008D3B4C">
        <w:rPr>
          <w:rFonts w:ascii="Calibri" w:hAnsi="Calibri" w:cs="Calibri"/>
          <w:sz w:val="24"/>
          <w:szCs w:val="24"/>
        </w:rPr>
        <w:t>Remember to check for hibernating hedgehogs and sleeping pets!</w:t>
      </w:r>
    </w:p>
    <w:p w14:paraId="363AE243" w14:textId="4D398AD8" w:rsidR="00B505B1" w:rsidRDefault="00B505B1" w:rsidP="008D3B4C">
      <w:pPr>
        <w:pStyle w:val="ListParagraph"/>
        <w:numPr>
          <w:ilvl w:val="0"/>
          <w:numId w:val="4"/>
        </w:numPr>
        <w:rPr>
          <w:rFonts w:ascii="Calibri" w:hAnsi="Calibri" w:cs="Calibri"/>
          <w:sz w:val="24"/>
          <w:szCs w:val="24"/>
        </w:rPr>
      </w:pPr>
      <w:r w:rsidRPr="008D3B4C">
        <w:rPr>
          <w:rFonts w:ascii="Calibri" w:hAnsi="Calibri" w:cs="Calibri"/>
          <w:sz w:val="24"/>
          <w:szCs w:val="24"/>
        </w:rPr>
        <w:t>Always observe the simple courtesy of letting your neighbours know when you intend to light the fire.</w:t>
      </w:r>
    </w:p>
    <w:p w14:paraId="339058E3" w14:textId="1750673A" w:rsidR="008D3B4C" w:rsidRPr="008D3B4C" w:rsidRDefault="008D3B4C" w:rsidP="008D3B4C">
      <w:pPr>
        <w:rPr>
          <w:rFonts w:ascii="Calibri" w:hAnsi="Calibri" w:cs="Calibri"/>
          <w:sz w:val="24"/>
          <w:szCs w:val="24"/>
        </w:rPr>
      </w:pPr>
      <w:r>
        <w:rPr>
          <w:rFonts w:ascii="Calibri" w:hAnsi="Calibri" w:cs="Calibri"/>
          <w:sz w:val="24"/>
          <w:szCs w:val="24"/>
        </w:rPr>
        <w:t>(</w:t>
      </w:r>
      <w:r w:rsidR="003B0FD3">
        <w:rPr>
          <w:rFonts w:ascii="Calibri" w:hAnsi="Calibri" w:cs="Calibri"/>
          <w:sz w:val="24"/>
          <w:szCs w:val="24"/>
        </w:rPr>
        <w:t>Compiled</w:t>
      </w:r>
      <w:r>
        <w:rPr>
          <w:rFonts w:ascii="Calibri" w:hAnsi="Calibri" w:cs="Calibri"/>
          <w:sz w:val="24"/>
          <w:szCs w:val="24"/>
        </w:rPr>
        <w:t xml:space="preserve"> from UK Government, National Allotment Association</w:t>
      </w:r>
      <w:bookmarkStart w:id="0" w:name="_GoBack"/>
      <w:bookmarkEnd w:id="0"/>
      <w:r>
        <w:rPr>
          <w:rFonts w:ascii="Calibri" w:hAnsi="Calibri" w:cs="Calibri"/>
          <w:sz w:val="24"/>
          <w:szCs w:val="24"/>
        </w:rPr>
        <w:t>,</w:t>
      </w:r>
      <w:r w:rsidR="003B0FD3">
        <w:rPr>
          <w:rFonts w:ascii="Calibri" w:hAnsi="Calibri" w:cs="Calibri"/>
          <w:sz w:val="24"/>
          <w:szCs w:val="24"/>
        </w:rPr>
        <w:t xml:space="preserve"> and the </w:t>
      </w:r>
      <w:r>
        <w:rPr>
          <w:rFonts w:ascii="Calibri" w:hAnsi="Calibri" w:cs="Calibri"/>
          <w:sz w:val="24"/>
          <w:szCs w:val="24"/>
        </w:rPr>
        <w:t>U.K. Fire Service</w:t>
      </w:r>
      <w:r w:rsidR="003B0FD3">
        <w:rPr>
          <w:rFonts w:ascii="Calibri" w:hAnsi="Calibri" w:cs="Calibri"/>
          <w:sz w:val="24"/>
          <w:szCs w:val="24"/>
        </w:rPr>
        <w:t>)</w:t>
      </w:r>
      <w:r>
        <w:rPr>
          <w:rFonts w:ascii="Calibri" w:hAnsi="Calibri" w:cs="Calibri"/>
          <w:sz w:val="24"/>
          <w:szCs w:val="24"/>
        </w:rPr>
        <w:t xml:space="preserve"> </w:t>
      </w:r>
    </w:p>
    <w:sectPr w:rsidR="008D3B4C" w:rsidRPr="008D3B4C" w:rsidSect="008D3B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494"/>
    <w:multiLevelType w:val="hybridMultilevel"/>
    <w:tmpl w:val="22463C22"/>
    <w:lvl w:ilvl="0" w:tplc="A4BA170C">
      <w:numFmt w:val="bullet"/>
      <w:lvlText w:val=""/>
      <w:lvlJc w:val="left"/>
      <w:pPr>
        <w:ind w:left="720" w:hanging="360"/>
      </w:pPr>
      <w:rPr>
        <w:rFonts w:ascii="Symbol" w:eastAsiaTheme="minorHAnsi" w:hAnsi="Symbol" w:cstheme="minorBidi" w:hint="default"/>
      </w:rPr>
    </w:lvl>
    <w:lvl w:ilvl="1" w:tplc="2DE89F3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4C09"/>
    <w:multiLevelType w:val="hybridMultilevel"/>
    <w:tmpl w:val="5122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52DAF"/>
    <w:multiLevelType w:val="multilevel"/>
    <w:tmpl w:val="9042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91853"/>
    <w:multiLevelType w:val="hybridMultilevel"/>
    <w:tmpl w:val="D4CE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61339"/>
    <w:multiLevelType w:val="hybridMultilevel"/>
    <w:tmpl w:val="EAE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BD"/>
    <w:rsid w:val="001338B5"/>
    <w:rsid w:val="00147DF5"/>
    <w:rsid w:val="0019049C"/>
    <w:rsid w:val="001D3DBD"/>
    <w:rsid w:val="00327A6C"/>
    <w:rsid w:val="003B0FD3"/>
    <w:rsid w:val="00681E42"/>
    <w:rsid w:val="008C678C"/>
    <w:rsid w:val="008D3B4C"/>
    <w:rsid w:val="00B5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C4B6"/>
  <w15:chartTrackingRefBased/>
  <w15:docId w15:val="{A1CEC8B7-4DEF-45C1-BD1C-B2E30771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BD"/>
    <w:pPr>
      <w:ind w:left="720"/>
      <w:contextualSpacing/>
    </w:pPr>
  </w:style>
  <w:style w:type="character" w:styleId="Hyperlink">
    <w:name w:val="Hyperlink"/>
    <w:basedOn w:val="DefaultParagraphFont"/>
    <w:uiPriority w:val="99"/>
    <w:unhideWhenUsed/>
    <w:rsid w:val="00B505B1"/>
    <w:rPr>
      <w:color w:val="0563C1" w:themeColor="hyperlink"/>
      <w:u w:val="single"/>
    </w:rPr>
  </w:style>
  <w:style w:type="character" w:styleId="UnresolvedMention">
    <w:name w:val="Unresolved Mention"/>
    <w:basedOn w:val="DefaultParagraphFont"/>
    <w:uiPriority w:val="99"/>
    <w:semiHidden/>
    <w:unhideWhenUsed/>
    <w:rsid w:val="00B5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Carole</cp:lastModifiedBy>
  <cp:revision>4</cp:revision>
  <dcterms:created xsi:type="dcterms:W3CDTF">2019-06-05T17:13:00Z</dcterms:created>
  <dcterms:modified xsi:type="dcterms:W3CDTF">2019-06-07T13:54:00Z</dcterms:modified>
</cp:coreProperties>
</file>